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A6" w:rsidRDefault="00256CA6" w:rsidP="00256CA6">
      <w:pPr>
        <w:jc w:val="right"/>
      </w:pPr>
      <w:r>
        <w:rPr>
          <w:noProof/>
          <w:lang w:val="en-GB" w:eastAsia="en-GB"/>
        </w:rPr>
        <w:drawing>
          <wp:inline distT="0" distB="0" distL="0" distR="0">
            <wp:extent cx="1079500" cy="698500"/>
            <wp:effectExtent l="25400" t="0" r="0" b="0"/>
            <wp:docPr id="2" name="Picture 0" descr="morearts_logo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arts_logo_3cm.jpg"/>
                    <pic:cNvPicPr/>
                  </pic:nvPicPr>
                  <pic:blipFill>
                    <a:blip r:embed="rId5"/>
                    <a:stretch>
                      <a:fillRect/>
                    </a:stretch>
                  </pic:blipFill>
                  <pic:spPr>
                    <a:xfrm>
                      <a:off x="0" y="0"/>
                      <a:ext cx="1079500" cy="698500"/>
                    </a:xfrm>
                    <a:prstGeom prst="rect">
                      <a:avLst/>
                    </a:prstGeom>
                  </pic:spPr>
                </pic:pic>
              </a:graphicData>
            </a:graphic>
          </wp:inline>
        </w:drawing>
      </w:r>
    </w:p>
    <w:p w:rsidR="00256CA6" w:rsidRPr="00DF2E95" w:rsidRDefault="00256CA6" w:rsidP="00256CA6">
      <w:pPr>
        <w:spacing w:after="0"/>
        <w:jc w:val="right"/>
        <w:rPr>
          <w:color w:val="5F497A" w:themeColor="accent4" w:themeShade="BF"/>
          <w:sz w:val="24"/>
        </w:rPr>
      </w:pPr>
      <w:r w:rsidRPr="00DF2E95">
        <w:rPr>
          <w:color w:val="5F497A" w:themeColor="accent4" w:themeShade="BF"/>
          <w:sz w:val="24"/>
        </w:rPr>
        <w:t>The Cultural Partnership: more arts.</w:t>
      </w:r>
    </w:p>
    <w:p w:rsidR="00256CA6" w:rsidRPr="00DF2E95" w:rsidRDefault="00256CA6" w:rsidP="00256CA6">
      <w:pPr>
        <w:jc w:val="right"/>
        <w:rPr>
          <w:color w:val="5F497A" w:themeColor="accent4" w:themeShade="BF"/>
        </w:rPr>
      </w:pPr>
      <w:r w:rsidRPr="008430EE">
        <w:rPr>
          <w:color w:val="5F497A" w:themeColor="accent4" w:themeShade="BF"/>
          <w:highlight w:val="yellow"/>
        </w:rPr>
        <w:t xml:space="preserve">Charitable </w:t>
      </w:r>
      <w:r w:rsidR="008430EE" w:rsidRPr="008430EE">
        <w:rPr>
          <w:color w:val="5F497A" w:themeColor="accent4" w:themeShade="BF"/>
          <w:highlight w:val="yellow"/>
        </w:rPr>
        <w:t>Incorporated</w:t>
      </w:r>
      <w:bookmarkStart w:id="0" w:name="_GoBack"/>
      <w:bookmarkEnd w:id="0"/>
      <w:r w:rsidR="008430EE">
        <w:rPr>
          <w:color w:val="5F497A" w:themeColor="accent4" w:themeShade="BF"/>
        </w:rPr>
        <w:t xml:space="preserve"> </w:t>
      </w:r>
      <w:r w:rsidRPr="00DF2E95">
        <w:rPr>
          <w:color w:val="5F497A" w:themeColor="accent4" w:themeShade="BF"/>
        </w:rPr>
        <w:t>Organisation No.1154785</w:t>
      </w:r>
    </w:p>
    <w:p w:rsidR="00256CA6" w:rsidRDefault="00256CA6" w:rsidP="00256CA6"/>
    <w:tbl>
      <w:tblPr>
        <w:tblStyle w:val="TableGrid"/>
        <w:tblW w:w="0" w:type="auto"/>
        <w:tblLook w:val="00A0" w:firstRow="1" w:lastRow="0" w:firstColumn="1" w:lastColumn="0" w:noHBand="0" w:noVBand="0"/>
      </w:tblPr>
      <w:tblGrid>
        <w:gridCol w:w="2683"/>
        <w:gridCol w:w="7165"/>
      </w:tblGrid>
      <w:tr w:rsidR="00256CA6" w:rsidRPr="00865B98">
        <w:tc>
          <w:tcPr>
            <w:tcW w:w="1951" w:type="dxa"/>
          </w:tcPr>
          <w:p w:rsidR="00256CA6" w:rsidRDefault="00256CA6">
            <w:pPr>
              <w:rPr>
                <w:sz w:val="24"/>
                <w:lang w:val="en-GB"/>
              </w:rPr>
            </w:pPr>
          </w:p>
          <w:p w:rsidR="00256CA6" w:rsidRPr="00865B98" w:rsidRDefault="00256CA6">
            <w:pPr>
              <w:rPr>
                <w:sz w:val="24"/>
                <w:lang w:val="en-GB"/>
              </w:rPr>
            </w:pPr>
            <w:r w:rsidRPr="00865B98">
              <w:rPr>
                <w:sz w:val="24"/>
                <w:lang w:val="en-GB"/>
              </w:rPr>
              <w:t>P&amp;P No:</w:t>
            </w:r>
          </w:p>
        </w:tc>
        <w:tc>
          <w:tcPr>
            <w:tcW w:w="7897" w:type="dxa"/>
          </w:tcPr>
          <w:p w:rsidR="00256CA6" w:rsidRPr="00865B98" w:rsidRDefault="00256CA6">
            <w:pPr>
              <w:rPr>
                <w:sz w:val="24"/>
                <w:lang w:val="en-GB"/>
              </w:rPr>
            </w:pPr>
          </w:p>
          <w:p w:rsidR="00256CA6" w:rsidRPr="00865B98" w:rsidRDefault="00256CA6">
            <w:pPr>
              <w:rPr>
                <w:sz w:val="24"/>
                <w:lang w:val="en-GB"/>
              </w:rPr>
            </w:pPr>
            <w:r>
              <w:rPr>
                <w:sz w:val="24"/>
                <w:lang w:val="en-GB"/>
              </w:rPr>
              <w:t>P&amp;P/ma008</w:t>
            </w:r>
          </w:p>
          <w:p w:rsidR="00256CA6" w:rsidRPr="00865B98" w:rsidRDefault="00256CA6">
            <w:pPr>
              <w:rPr>
                <w:sz w:val="24"/>
                <w:lang w:val="en-GB"/>
              </w:rPr>
            </w:pPr>
          </w:p>
        </w:tc>
      </w:tr>
      <w:tr w:rsidR="00256CA6" w:rsidRPr="00865B98">
        <w:tc>
          <w:tcPr>
            <w:tcW w:w="1951" w:type="dxa"/>
          </w:tcPr>
          <w:p w:rsidR="00256CA6" w:rsidRDefault="00256CA6">
            <w:pPr>
              <w:rPr>
                <w:sz w:val="24"/>
                <w:lang w:val="en-GB"/>
              </w:rPr>
            </w:pPr>
          </w:p>
          <w:p w:rsidR="00256CA6" w:rsidRPr="00865B98" w:rsidRDefault="00256CA6">
            <w:pPr>
              <w:rPr>
                <w:sz w:val="24"/>
                <w:lang w:val="en-GB"/>
              </w:rPr>
            </w:pPr>
            <w:r w:rsidRPr="00865B98">
              <w:rPr>
                <w:sz w:val="24"/>
                <w:lang w:val="en-GB"/>
              </w:rPr>
              <w:t>P&amp;P TITLE:</w:t>
            </w:r>
          </w:p>
        </w:tc>
        <w:tc>
          <w:tcPr>
            <w:tcW w:w="7897" w:type="dxa"/>
          </w:tcPr>
          <w:p w:rsidR="00256CA6" w:rsidRPr="00865B98" w:rsidRDefault="00256CA6">
            <w:pPr>
              <w:rPr>
                <w:sz w:val="24"/>
                <w:lang w:val="en-GB"/>
              </w:rPr>
            </w:pPr>
          </w:p>
          <w:p w:rsidR="00256CA6" w:rsidRPr="00865B98" w:rsidRDefault="00256CA6">
            <w:pPr>
              <w:rPr>
                <w:sz w:val="24"/>
                <w:lang w:val="en-GB"/>
              </w:rPr>
            </w:pPr>
            <w:r>
              <w:rPr>
                <w:sz w:val="24"/>
                <w:lang w:val="en-GB"/>
              </w:rPr>
              <w:t>CONFLICTS OF INTEREST</w:t>
            </w:r>
          </w:p>
          <w:p w:rsidR="00256CA6" w:rsidRPr="00865B98" w:rsidRDefault="00256CA6">
            <w:pPr>
              <w:rPr>
                <w:sz w:val="24"/>
                <w:lang w:val="en-GB"/>
              </w:rPr>
            </w:pPr>
          </w:p>
        </w:tc>
      </w:tr>
      <w:tr w:rsidR="00256CA6" w:rsidRPr="00865B98">
        <w:tc>
          <w:tcPr>
            <w:tcW w:w="1951" w:type="dxa"/>
          </w:tcPr>
          <w:p w:rsidR="00256CA6" w:rsidRDefault="00256CA6">
            <w:pPr>
              <w:rPr>
                <w:sz w:val="24"/>
                <w:lang w:val="en-GB"/>
              </w:rPr>
            </w:pPr>
          </w:p>
          <w:p w:rsidR="00256CA6" w:rsidRPr="00865B98" w:rsidRDefault="00256CA6">
            <w:pPr>
              <w:rPr>
                <w:sz w:val="24"/>
                <w:lang w:val="en-GB"/>
              </w:rPr>
            </w:pPr>
            <w:r w:rsidRPr="00865B98">
              <w:rPr>
                <w:sz w:val="24"/>
                <w:lang w:val="en-GB"/>
              </w:rPr>
              <w:t>APPLICABLE TO:</w:t>
            </w:r>
          </w:p>
        </w:tc>
        <w:tc>
          <w:tcPr>
            <w:tcW w:w="7897" w:type="dxa"/>
          </w:tcPr>
          <w:p w:rsidR="00256CA6" w:rsidRPr="00865B98" w:rsidRDefault="00256CA6">
            <w:pPr>
              <w:rPr>
                <w:sz w:val="24"/>
                <w:lang w:val="en-GB"/>
              </w:rPr>
            </w:pPr>
          </w:p>
          <w:p w:rsidR="00256CA6" w:rsidRPr="00865B98" w:rsidRDefault="00256CA6">
            <w:pPr>
              <w:rPr>
                <w:b w:val="0"/>
                <w:sz w:val="24"/>
                <w:lang w:val="en-GB"/>
              </w:rPr>
            </w:pPr>
            <w:r w:rsidRPr="00865B98">
              <w:rPr>
                <w:b w:val="0"/>
                <w:sz w:val="24"/>
                <w:lang w:val="en-GB"/>
              </w:rPr>
              <w:t>Trustees</w:t>
            </w:r>
          </w:p>
          <w:p w:rsidR="00256CA6" w:rsidRPr="00865B98" w:rsidRDefault="00256CA6">
            <w:pPr>
              <w:rPr>
                <w:b w:val="0"/>
                <w:sz w:val="24"/>
                <w:lang w:val="en-GB"/>
              </w:rPr>
            </w:pPr>
          </w:p>
        </w:tc>
      </w:tr>
      <w:tr w:rsidR="00256CA6" w:rsidRPr="00865B98">
        <w:tc>
          <w:tcPr>
            <w:tcW w:w="1951" w:type="dxa"/>
          </w:tcPr>
          <w:p w:rsidR="00256CA6" w:rsidRDefault="00256CA6">
            <w:pPr>
              <w:rPr>
                <w:sz w:val="24"/>
                <w:lang w:val="en-GB"/>
              </w:rPr>
            </w:pPr>
          </w:p>
          <w:p w:rsidR="00256CA6" w:rsidRDefault="00256CA6" w:rsidP="003D7B96">
            <w:pPr>
              <w:rPr>
                <w:sz w:val="24"/>
                <w:lang w:val="en-GB"/>
              </w:rPr>
            </w:pPr>
            <w:r w:rsidRPr="00865B98">
              <w:rPr>
                <w:sz w:val="24"/>
                <w:lang w:val="en-GB"/>
              </w:rPr>
              <w:t>BACKGROUND:</w:t>
            </w:r>
          </w:p>
          <w:p w:rsidR="00256CA6" w:rsidRPr="00865B98" w:rsidRDefault="00256CA6">
            <w:pPr>
              <w:rPr>
                <w:sz w:val="24"/>
                <w:lang w:val="en-GB"/>
              </w:rPr>
            </w:pPr>
          </w:p>
        </w:tc>
        <w:tc>
          <w:tcPr>
            <w:tcW w:w="7897" w:type="dxa"/>
          </w:tcPr>
          <w:p w:rsidR="003D7B96" w:rsidRPr="003D7B96" w:rsidRDefault="003D7B96">
            <w:pPr>
              <w:rPr>
                <w:b w:val="0"/>
                <w:sz w:val="24"/>
                <w:lang w:val="en-GB"/>
              </w:rPr>
            </w:pPr>
          </w:p>
          <w:p w:rsidR="003D7B96" w:rsidRDefault="003D7B96" w:rsidP="003D7B96">
            <w:pPr>
              <w:rPr>
                <w:b w:val="0"/>
                <w:sz w:val="24"/>
              </w:rPr>
            </w:pPr>
            <w:r w:rsidRPr="003D7B96">
              <w:rPr>
                <w:b w:val="0"/>
                <w:sz w:val="24"/>
              </w:rPr>
              <w:t>Trustees have a legal obligation to act in the best interests of The Cultural Partnership, and in accordance with The Cultural Partnership’s governing document, and to avoid situations where there may be a potential conflict of interest</w:t>
            </w:r>
            <w:r>
              <w:rPr>
                <w:b w:val="0"/>
                <w:sz w:val="24"/>
              </w:rPr>
              <w:t xml:space="preserve">.  </w:t>
            </w:r>
          </w:p>
          <w:p w:rsidR="003D7B96" w:rsidRPr="003D7B96" w:rsidRDefault="003D7B96" w:rsidP="003D7B96">
            <w:pPr>
              <w:rPr>
                <w:b w:val="0"/>
                <w:sz w:val="24"/>
              </w:rPr>
            </w:pPr>
          </w:p>
          <w:p w:rsidR="003D7B96" w:rsidRPr="003D7B96" w:rsidRDefault="003D7B96" w:rsidP="003D7B96">
            <w:pPr>
              <w:rPr>
                <w:b w:val="0"/>
                <w:sz w:val="24"/>
              </w:rPr>
            </w:pPr>
            <w:r w:rsidRPr="003D7B96">
              <w:rPr>
                <w:b w:val="0"/>
                <w:sz w:val="24"/>
              </w:rPr>
              <w:t>Conflicts of interest may arise where an individual’s personal or family interests and/or loyalties conflict with those of The Cultural Partnership</w:t>
            </w:r>
            <w:r>
              <w:rPr>
                <w:b w:val="0"/>
                <w:sz w:val="24"/>
              </w:rPr>
              <w:t>: more arts</w:t>
            </w:r>
            <w:r w:rsidRPr="003D7B96">
              <w:rPr>
                <w:b w:val="0"/>
                <w:sz w:val="24"/>
              </w:rPr>
              <w:t>.  Such con</w:t>
            </w:r>
            <w:r>
              <w:rPr>
                <w:b w:val="0"/>
                <w:sz w:val="24"/>
              </w:rPr>
              <w:t>flicts may create problems that</w:t>
            </w:r>
            <w:r w:rsidRPr="003D7B96">
              <w:rPr>
                <w:b w:val="0"/>
                <w:sz w:val="24"/>
              </w:rPr>
              <w:t xml:space="preserve"> can:</w:t>
            </w:r>
          </w:p>
          <w:p w:rsidR="003D7B96" w:rsidRPr="003D7B96" w:rsidRDefault="003D7B96" w:rsidP="003D7B96">
            <w:pPr>
              <w:numPr>
                <w:ilvl w:val="0"/>
                <w:numId w:val="2"/>
              </w:numPr>
              <w:rPr>
                <w:b w:val="0"/>
                <w:sz w:val="24"/>
              </w:rPr>
            </w:pPr>
            <w:r w:rsidRPr="003D7B96">
              <w:rPr>
                <w:b w:val="0"/>
                <w:sz w:val="24"/>
              </w:rPr>
              <w:t>inhibit free discussion</w:t>
            </w:r>
          </w:p>
          <w:p w:rsidR="003D7B96" w:rsidRPr="003D7B96" w:rsidRDefault="003D7B96" w:rsidP="003D7B96">
            <w:pPr>
              <w:numPr>
                <w:ilvl w:val="0"/>
                <w:numId w:val="2"/>
              </w:numPr>
              <w:rPr>
                <w:b w:val="0"/>
                <w:sz w:val="24"/>
              </w:rPr>
            </w:pPr>
            <w:r w:rsidRPr="003D7B96">
              <w:rPr>
                <w:b w:val="0"/>
                <w:sz w:val="24"/>
              </w:rPr>
              <w:t>result in decisions or actions that are not in the interests of The Cultural Partnership</w:t>
            </w:r>
            <w:r>
              <w:rPr>
                <w:b w:val="0"/>
                <w:sz w:val="24"/>
              </w:rPr>
              <w:t xml:space="preserve">: </w:t>
            </w:r>
            <w:r w:rsidR="00151C6E" w:rsidRPr="00151C6E">
              <w:rPr>
                <w:b w:val="0"/>
                <w:sz w:val="24"/>
                <w:highlight w:val="yellow"/>
              </w:rPr>
              <w:t>‘</w:t>
            </w:r>
            <w:r w:rsidRPr="00151C6E">
              <w:rPr>
                <w:b w:val="0"/>
                <w:sz w:val="24"/>
                <w:highlight w:val="yellow"/>
              </w:rPr>
              <w:t>more arts.</w:t>
            </w:r>
            <w:r w:rsidR="00151C6E" w:rsidRPr="00151C6E">
              <w:rPr>
                <w:b w:val="0"/>
                <w:sz w:val="24"/>
                <w:highlight w:val="yellow"/>
              </w:rPr>
              <w:t>’</w:t>
            </w:r>
            <w:r>
              <w:rPr>
                <w:b w:val="0"/>
                <w:sz w:val="24"/>
              </w:rPr>
              <w:t xml:space="preserve"> </w:t>
            </w:r>
          </w:p>
          <w:p w:rsidR="003D7B96" w:rsidRPr="003D7B96" w:rsidRDefault="003D7B96" w:rsidP="003D7B96">
            <w:pPr>
              <w:numPr>
                <w:ilvl w:val="0"/>
                <w:numId w:val="2"/>
              </w:numPr>
              <w:rPr>
                <w:b w:val="0"/>
                <w:sz w:val="24"/>
              </w:rPr>
            </w:pPr>
            <w:r>
              <w:rPr>
                <w:b w:val="0"/>
                <w:sz w:val="24"/>
              </w:rPr>
              <w:t>create</w:t>
            </w:r>
            <w:r w:rsidRPr="003D7B96">
              <w:rPr>
                <w:b w:val="0"/>
                <w:sz w:val="24"/>
              </w:rPr>
              <w:t xml:space="preserve"> the impression that The Cultural Partnership</w:t>
            </w:r>
            <w:r>
              <w:rPr>
                <w:b w:val="0"/>
                <w:sz w:val="24"/>
              </w:rPr>
              <w:t xml:space="preserve">: </w:t>
            </w:r>
            <w:r w:rsidR="00151C6E" w:rsidRPr="00151C6E">
              <w:rPr>
                <w:b w:val="0"/>
                <w:sz w:val="24"/>
                <w:highlight w:val="yellow"/>
              </w:rPr>
              <w:t>‘</w:t>
            </w:r>
            <w:r w:rsidRPr="00151C6E">
              <w:rPr>
                <w:b w:val="0"/>
                <w:sz w:val="24"/>
                <w:highlight w:val="yellow"/>
              </w:rPr>
              <w:t>more arts.</w:t>
            </w:r>
            <w:r w:rsidR="00151C6E" w:rsidRPr="00151C6E">
              <w:rPr>
                <w:b w:val="0"/>
                <w:sz w:val="24"/>
                <w:highlight w:val="yellow"/>
              </w:rPr>
              <w:t>’</w:t>
            </w:r>
            <w:r w:rsidRPr="003D7B96">
              <w:rPr>
                <w:b w:val="0"/>
                <w:sz w:val="24"/>
              </w:rPr>
              <w:t xml:space="preserve"> has acted improperly.</w:t>
            </w:r>
          </w:p>
          <w:p w:rsidR="003D7B96" w:rsidRPr="003D7B96" w:rsidRDefault="003D7B96" w:rsidP="003D7B96">
            <w:pPr>
              <w:rPr>
                <w:b w:val="0"/>
                <w:sz w:val="24"/>
              </w:rPr>
            </w:pPr>
          </w:p>
          <w:p w:rsidR="003D7B96" w:rsidRPr="003D7B96" w:rsidRDefault="003D7B96" w:rsidP="003D7B96">
            <w:pPr>
              <w:rPr>
                <w:b w:val="0"/>
                <w:sz w:val="24"/>
              </w:rPr>
            </w:pPr>
            <w:r w:rsidRPr="003D7B96">
              <w:rPr>
                <w:b w:val="0"/>
                <w:sz w:val="24"/>
              </w:rPr>
              <w:t>The aim of this policy is to protect both the organisation and the individuals involved from any appearance of impropriety.</w:t>
            </w:r>
          </w:p>
          <w:p w:rsidR="00256CA6" w:rsidRPr="003D7B96" w:rsidRDefault="00256CA6" w:rsidP="003D7B96">
            <w:pPr>
              <w:pStyle w:val="BodyText"/>
              <w:spacing w:after="120"/>
              <w:jc w:val="left"/>
              <w:rPr>
                <w:rFonts w:ascii="Arial" w:hAnsi="Arial" w:cs="Arial"/>
                <w:sz w:val="24"/>
                <w:szCs w:val="22"/>
              </w:rPr>
            </w:pPr>
          </w:p>
        </w:tc>
      </w:tr>
      <w:tr w:rsidR="00256CA6" w:rsidRPr="00865B98">
        <w:tc>
          <w:tcPr>
            <w:tcW w:w="1951" w:type="dxa"/>
          </w:tcPr>
          <w:p w:rsidR="00256CA6" w:rsidRDefault="00256CA6">
            <w:pPr>
              <w:rPr>
                <w:sz w:val="24"/>
                <w:lang w:val="en-GB"/>
              </w:rPr>
            </w:pPr>
          </w:p>
          <w:p w:rsidR="00256CA6" w:rsidRPr="00865B98" w:rsidRDefault="00256CA6" w:rsidP="003D7B96">
            <w:pPr>
              <w:rPr>
                <w:sz w:val="24"/>
                <w:lang w:val="en-GB"/>
              </w:rPr>
            </w:pPr>
            <w:r w:rsidRPr="00865B98">
              <w:rPr>
                <w:sz w:val="24"/>
                <w:lang w:val="en-GB"/>
              </w:rPr>
              <w:t>P&amp;P DETAIL:</w:t>
            </w:r>
          </w:p>
          <w:p w:rsidR="00256CA6" w:rsidRPr="00865B98" w:rsidRDefault="00256CA6">
            <w:pPr>
              <w:rPr>
                <w:sz w:val="24"/>
                <w:lang w:val="en-GB"/>
              </w:rPr>
            </w:pPr>
          </w:p>
        </w:tc>
        <w:tc>
          <w:tcPr>
            <w:tcW w:w="7897" w:type="dxa"/>
          </w:tcPr>
          <w:p w:rsidR="00256CA6" w:rsidRPr="003D7B96" w:rsidRDefault="00256CA6">
            <w:pPr>
              <w:rPr>
                <w:b w:val="0"/>
                <w:sz w:val="24"/>
                <w:lang w:val="en-GB"/>
              </w:rPr>
            </w:pPr>
          </w:p>
          <w:p w:rsidR="003D7B96" w:rsidRDefault="003D7B96" w:rsidP="003D7B96">
            <w:pPr>
              <w:pStyle w:val="ListParagraph"/>
              <w:numPr>
                <w:ilvl w:val="0"/>
                <w:numId w:val="3"/>
              </w:numPr>
              <w:rPr>
                <w:sz w:val="24"/>
              </w:rPr>
            </w:pPr>
            <w:r w:rsidRPr="003D7B96">
              <w:rPr>
                <w:sz w:val="24"/>
              </w:rPr>
              <w:t xml:space="preserve">Trustees are required to declare their interests and any gifts or hospitality received in connection with their role in The Cultural Partnership: </w:t>
            </w:r>
            <w:r w:rsidR="00151C6E" w:rsidRPr="00151C6E">
              <w:rPr>
                <w:sz w:val="24"/>
                <w:highlight w:val="yellow"/>
              </w:rPr>
              <w:t>‘</w:t>
            </w:r>
            <w:r w:rsidRPr="00151C6E">
              <w:rPr>
                <w:sz w:val="24"/>
                <w:highlight w:val="yellow"/>
              </w:rPr>
              <w:t>more arts.</w:t>
            </w:r>
            <w:r w:rsidR="00151C6E" w:rsidRPr="00151C6E">
              <w:rPr>
                <w:sz w:val="24"/>
                <w:highlight w:val="yellow"/>
              </w:rPr>
              <w:t>’</w:t>
            </w:r>
            <w:r>
              <w:rPr>
                <w:sz w:val="24"/>
              </w:rPr>
              <w:t xml:space="preserve">  A Declaration of I</w:t>
            </w:r>
            <w:r w:rsidRPr="003D7B96">
              <w:rPr>
                <w:sz w:val="24"/>
              </w:rPr>
              <w:t>nterest form is provided for this purpose, listing the type of interest to be declared.</w:t>
            </w:r>
          </w:p>
          <w:p w:rsidR="003D7B96" w:rsidRDefault="003D7B96" w:rsidP="003D7B96">
            <w:pPr>
              <w:pStyle w:val="ListParagraph"/>
              <w:numPr>
                <w:ilvl w:val="0"/>
                <w:numId w:val="3"/>
              </w:numPr>
              <w:rPr>
                <w:sz w:val="24"/>
              </w:rPr>
            </w:pPr>
            <w:r w:rsidRPr="003D7B96">
              <w:rPr>
                <w:sz w:val="24"/>
              </w:rPr>
              <w:t>To be effective, the declaration of interests needs to be updated at least annually, and also when any changes occur.  If you are not sure what to declare, or whether/when your declaration needs to be updated, please err on the side of caution.</w:t>
            </w:r>
          </w:p>
          <w:p w:rsidR="003D7B96" w:rsidRDefault="003D7B96" w:rsidP="003D7B96">
            <w:pPr>
              <w:pStyle w:val="ListParagraph"/>
              <w:numPr>
                <w:ilvl w:val="0"/>
                <w:numId w:val="3"/>
              </w:numPr>
              <w:rPr>
                <w:sz w:val="24"/>
              </w:rPr>
            </w:pPr>
            <w:r w:rsidRPr="003D7B96">
              <w:rPr>
                <w:sz w:val="24"/>
              </w:rPr>
              <w:t xml:space="preserve">The register of interests shall also be used to record all gifts of a value over £20 received by the Trustees.  Interest and gifts will be recorded on the charity’s register of interests, which will be maintained by the </w:t>
            </w:r>
            <w:r w:rsidRPr="003D7B96">
              <w:rPr>
                <w:sz w:val="24"/>
              </w:rPr>
              <w:lastRenderedPageBreak/>
              <w:t>Secretary.  The register will be accessible by Trustees.</w:t>
            </w:r>
          </w:p>
          <w:p w:rsidR="003D7B96" w:rsidRPr="003D7B96" w:rsidRDefault="003D7B96" w:rsidP="003D7B96">
            <w:pPr>
              <w:pStyle w:val="ListParagraph"/>
              <w:numPr>
                <w:ilvl w:val="0"/>
                <w:numId w:val="3"/>
              </w:numPr>
              <w:rPr>
                <w:sz w:val="24"/>
              </w:rPr>
            </w:pPr>
            <w:r w:rsidRPr="003D7B96">
              <w:rPr>
                <w:sz w:val="24"/>
              </w:rPr>
              <w:t xml:space="preserve">The information provided will be processed in accordance with the Data Protection principles as set out in the Data Protection Act 1998.  Data will be processed only to ensure that Trustees act in the best interests of The Cultural Partnership: </w:t>
            </w:r>
            <w:r w:rsidR="00151C6E" w:rsidRPr="00151C6E">
              <w:rPr>
                <w:sz w:val="24"/>
                <w:highlight w:val="yellow"/>
              </w:rPr>
              <w:t>‘</w:t>
            </w:r>
            <w:r w:rsidRPr="00151C6E">
              <w:rPr>
                <w:sz w:val="24"/>
                <w:highlight w:val="yellow"/>
              </w:rPr>
              <w:t>more arts.</w:t>
            </w:r>
            <w:r w:rsidR="00151C6E" w:rsidRPr="00151C6E">
              <w:rPr>
                <w:sz w:val="24"/>
                <w:highlight w:val="yellow"/>
              </w:rPr>
              <w:t>’</w:t>
            </w:r>
            <w:r w:rsidRPr="003D7B96">
              <w:rPr>
                <w:sz w:val="24"/>
              </w:rPr>
              <w:t xml:space="preserve">  The information provided will not be used for any other purpose.</w:t>
            </w:r>
          </w:p>
          <w:p w:rsidR="00256CA6" w:rsidRPr="003D7B96" w:rsidRDefault="00256CA6" w:rsidP="003D7B96">
            <w:pPr>
              <w:autoSpaceDE w:val="0"/>
              <w:autoSpaceDN w:val="0"/>
              <w:adjustRightInd w:val="0"/>
              <w:rPr>
                <w:b w:val="0"/>
                <w:sz w:val="24"/>
                <w:lang w:val="en-GB"/>
              </w:rPr>
            </w:pPr>
          </w:p>
        </w:tc>
      </w:tr>
      <w:tr w:rsidR="00256CA6" w:rsidRPr="00865B98">
        <w:tc>
          <w:tcPr>
            <w:tcW w:w="1951" w:type="dxa"/>
          </w:tcPr>
          <w:p w:rsidR="00256CA6" w:rsidRPr="009C4036" w:rsidRDefault="00256CA6" w:rsidP="003D7B96"/>
          <w:p w:rsidR="00256CA6" w:rsidRPr="00865B98" w:rsidRDefault="00256CA6" w:rsidP="003D7B96">
            <w:pPr>
              <w:rPr>
                <w:sz w:val="24"/>
                <w:lang w:val="en-GB"/>
              </w:rPr>
            </w:pPr>
            <w:r w:rsidRPr="00865B98">
              <w:rPr>
                <w:sz w:val="24"/>
                <w:lang w:val="en-GB"/>
              </w:rPr>
              <w:t>TRAINING:</w:t>
            </w:r>
          </w:p>
          <w:p w:rsidR="00256CA6" w:rsidRPr="00865B98" w:rsidRDefault="00256CA6">
            <w:pPr>
              <w:rPr>
                <w:sz w:val="24"/>
                <w:lang w:val="en-GB"/>
              </w:rPr>
            </w:pPr>
          </w:p>
        </w:tc>
        <w:tc>
          <w:tcPr>
            <w:tcW w:w="7897" w:type="dxa"/>
          </w:tcPr>
          <w:p w:rsidR="00256CA6" w:rsidRDefault="00256CA6" w:rsidP="003D7B96">
            <w:pPr>
              <w:pStyle w:val="NormalWeb"/>
              <w:spacing w:before="0" w:beforeAutospacing="0" w:after="0" w:afterAutospacing="0"/>
              <w:rPr>
                <w:rFonts w:ascii="Arial" w:hAnsi="Arial" w:cs="Arial"/>
                <w:szCs w:val="22"/>
              </w:rPr>
            </w:pPr>
          </w:p>
          <w:p w:rsidR="003D7B96" w:rsidRDefault="003D7B96" w:rsidP="003D7B96">
            <w:pPr>
              <w:pStyle w:val="NormalWeb"/>
              <w:spacing w:before="0" w:beforeAutospacing="0" w:after="0" w:afterAutospacing="0"/>
              <w:rPr>
                <w:rFonts w:ascii="Arial" w:hAnsi="Arial" w:cs="Arial"/>
                <w:szCs w:val="22"/>
              </w:rPr>
            </w:pPr>
            <w:r>
              <w:rPr>
                <w:rFonts w:ascii="Arial" w:hAnsi="Arial" w:cs="Arial"/>
                <w:szCs w:val="22"/>
              </w:rPr>
              <w:t xml:space="preserve">All Trustees will be provided with a copy of this policy during induction, and will be required to sign a Declaration of Interest form on appointment, and thereafter whenever their circumstances relating to possible conflicts may change, and </w:t>
            </w:r>
            <w:r w:rsidR="00661380">
              <w:rPr>
                <w:rFonts w:ascii="Arial" w:hAnsi="Arial" w:cs="Arial"/>
                <w:szCs w:val="22"/>
              </w:rPr>
              <w:t xml:space="preserve">also </w:t>
            </w:r>
            <w:r>
              <w:rPr>
                <w:rFonts w:ascii="Arial" w:hAnsi="Arial" w:cs="Arial"/>
                <w:szCs w:val="22"/>
              </w:rPr>
              <w:t>annually on the first day of each year.</w:t>
            </w:r>
          </w:p>
          <w:p w:rsidR="00256CA6" w:rsidRPr="00865B98" w:rsidRDefault="00256CA6" w:rsidP="003D7B96">
            <w:pPr>
              <w:pStyle w:val="NormalWeb"/>
              <w:spacing w:before="0" w:beforeAutospacing="0" w:after="0" w:afterAutospacing="0"/>
            </w:pPr>
          </w:p>
        </w:tc>
      </w:tr>
      <w:tr w:rsidR="00256CA6" w:rsidRPr="00865B98">
        <w:tc>
          <w:tcPr>
            <w:tcW w:w="1951" w:type="dxa"/>
          </w:tcPr>
          <w:p w:rsidR="00256CA6" w:rsidRDefault="00256CA6">
            <w:pPr>
              <w:rPr>
                <w:sz w:val="24"/>
                <w:lang w:val="en-GB"/>
              </w:rPr>
            </w:pPr>
          </w:p>
          <w:p w:rsidR="00256CA6" w:rsidRPr="00865B98" w:rsidRDefault="00256CA6" w:rsidP="003D7B96">
            <w:pPr>
              <w:rPr>
                <w:sz w:val="24"/>
                <w:lang w:val="en-GB"/>
              </w:rPr>
            </w:pPr>
            <w:r w:rsidRPr="00865B98">
              <w:rPr>
                <w:sz w:val="24"/>
                <w:lang w:val="en-GB"/>
              </w:rPr>
              <w:t>REVIEW DATE:</w:t>
            </w:r>
          </w:p>
          <w:p w:rsidR="00256CA6" w:rsidRPr="00865B98" w:rsidRDefault="00256CA6">
            <w:pPr>
              <w:rPr>
                <w:sz w:val="24"/>
                <w:lang w:val="en-GB"/>
              </w:rPr>
            </w:pPr>
          </w:p>
        </w:tc>
        <w:tc>
          <w:tcPr>
            <w:tcW w:w="7897" w:type="dxa"/>
          </w:tcPr>
          <w:p w:rsidR="00256CA6" w:rsidRDefault="00256CA6">
            <w:pPr>
              <w:rPr>
                <w:sz w:val="24"/>
                <w:lang w:val="en-GB"/>
              </w:rPr>
            </w:pPr>
          </w:p>
          <w:p w:rsidR="00256CA6" w:rsidRPr="00865B98" w:rsidRDefault="003D7B96" w:rsidP="003D7B96">
            <w:pPr>
              <w:pStyle w:val="BodyText"/>
              <w:jc w:val="left"/>
              <w:rPr>
                <w:rFonts w:ascii="Arial" w:hAnsi="Arial" w:cs="Arial"/>
                <w:sz w:val="24"/>
                <w:szCs w:val="22"/>
              </w:rPr>
            </w:pPr>
            <w:r>
              <w:rPr>
                <w:rFonts w:ascii="Arial" w:hAnsi="Arial" w:cs="Arial"/>
                <w:sz w:val="24"/>
                <w:szCs w:val="22"/>
              </w:rPr>
              <w:t>As appropriate.</w:t>
            </w:r>
          </w:p>
          <w:p w:rsidR="00256CA6" w:rsidRPr="00865B98" w:rsidRDefault="00256CA6" w:rsidP="003D7B96">
            <w:pPr>
              <w:rPr>
                <w:sz w:val="24"/>
                <w:lang w:val="en-GB"/>
              </w:rPr>
            </w:pPr>
          </w:p>
        </w:tc>
      </w:tr>
      <w:tr w:rsidR="00256CA6" w:rsidRPr="00865B98">
        <w:tc>
          <w:tcPr>
            <w:tcW w:w="1951" w:type="dxa"/>
          </w:tcPr>
          <w:p w:rsidR="00256CA6" w:rsidRDefault="00256CA6">
            <w:pPr>
              <w:rPr>
                <w:sz w:val="24"/>
                <w:lang w:val="en-GB"/>
              </w:rPr>
            </w:pPr>
          </w:p>
          <w:p w:rsidR="00256CA6" w:rsidRPr="00865B98" w:rsidRDefault="00256CA6" w:rsidP="003D7B96">
            <w:pPr>
              <w:rPr>
                <w:sz w:val="24"/>
                <w:lang w:val="en-GB"/>
              </w:rPr>
            </w:pPr>
            <w:r w:rsidRPr="00865B98">
              <w:rPr>
                <w:sz w:val="24"/>
                <w:lang w:val="en-GB"/>
              </w:rPr>
              <w:t>DATE P&amp;P CREATED/UPDATED:</w:t>
            </w:r>
          </w:p>
          <w:p w:rsidR="00256CA6" w:rsidRPr="00865B98" w:rsidRDefault="00256CA6">
            <w:pPr>
              <w:rPr>
                <w:sz w:val="24"/>
                <w:lang w:val="en-GB"/>
              </w:rPr>
            </w:pPr>
          </w:p>
        </w:tc>
        <w:tc>
          <w:tcPr>
            <w:tcW w:w="7897" w:type="dxa"/>
          </w:tcPr>
          <w:p w:rsidR="00256CA6" w:rsidRPr="00865B98" w:rsidRDefault="00256CA6">
            <w:pPr>
              <w:rPr>
                <w:sz w:val="24"/>
                <w:lang w:val="en-GB"/>
              </w:rPr>
            </w:pPr>
          </w:p>
          <w:p w:rsidR="00256CA6" w:rsidRPr="00865B98" w:rsidRDefault="00256CA6" w:rsidP="003D7B96">
            <w:pPr>
              <w:rPr>
                <w:b w:val="0"/>
                <w:sz w:val="24"/>
                <w:lang w:val="en-GB"/>
              </w:rPr>
            </w:pPr>
            <w:r>
              <w:rPr>
                <w:b w:val="0"/>
                <w:sz w:val="24"/>
                <w:lang w:val="en-GB"/>
              </w:rPr>
              <w:t>21 January 2016</w:t>
            </w:r>
          </w:p>
        </w:tc>
      </w:tr>
      <w:tr w:rsidR="00256CA6" w:rsidRPr="009C4036">
        <w:tc>
          <w:tcPr>
            <w:tcW w:w="1951" w:type="dxa"/>
          </w:tcPr>
          <w:p w:rsidR="00256CA6" w:rsidRDefault="00256CA6">
            <w:pPr>
              <w:rPr>
                <w:sz w:val="24"/>
                <w:lang w:val="en-GB"/>
              </w:rPr>
            </w:pPr>
          </w:p>
          <w:p w:rsidR="00256CA6" w:rsidRPr="00865B98" w:rsidRDefault="00256CA6" w:rsidP="003D7B96">
            <w:pPr>
              <w:rPr>
                <w:sz w:val="24"/>
                <w:lang w:val="en-GB"/>
              </w:rPr>
            </w:pPr>
            <w:r w:rsidRPr="00865B98">
              <w:rPr>
                <w:sz w:val="24"/>
                <w:lang w:val="en-GB"/>
              </w:rPr>
              <w:t>DATE APPROVED BY TRUSTEES:</w:t>
            </w:r>
          </w:p>
          <w:p w:rsidR="00256CA6" w:rsidRPr="00865B98" w:rsidRDefault="00256CA6">
            <w:pPr>
              <w:rPr>
                <w:sz w:val="24"/>
                <w:lang w:val="en-GB"/>
              </w:rPr>
            </w:pPr>
          </w:p>
        </w:tc>
        <w:tc>
          <w:tcPr>
            <w:tcW w:w="7897" w:type="dxa"/>
          </w:tcPr>
          <w:p w:rsidR="00256CA6" w:rsidRPr="00865B98" w:rsidRDefault="00256CA6">
            <w:pPr>
              <w:rPr>
                <w:sz w:val="24"/>
                <w:lang w:val="en-GB"/>
              </w:rPr>
            </w:pPr>
          </w:p>
          <w:p w:rsidR="00256CA6" w:rsidRPr="009C4036" w:rsidRDefault="00256CA6" w:rsidP="003D7B96">
            <w:pPr>
              <w:rPr>
                <w:b w:val="0"/>
                <w:sz w:val="24"/>
                <w:lang w:val="en-GB"/>
              </w:rPr>
            </w:pPr>
            <w:r>
              <w:rPr>
                <w:b w:val="0"/>
                <w:sz w:val="24"/>
                <w:lang w:val="en-GB"/>
              </w:rPr>
              <w:t xml:space="preserve"> </w:t>
            </w:r>
          </w:p>
        </w:tc>
      </w:tr>
    </w:tbl>
    <w:p w:rsidR="003D7B96" w:rsidRDefault="003D7B96" w:rsidP="00256CA6"/>
    <w:sectPr w:rsidR="003D7B96" w:rsidSect="003D7B96">
      <w:pgSz w:w="11900" w:h="16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519"/>
    <w:multiLevelType w:val="hybridMultilevel"/>
    <w:tmpl w:val="349A7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009FC"/>
    <w:multiLevelType w:val="hybridMultilevel"/>
    <w:tmpl w:val="7E1A0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F87750"/>
    <w:multiLevelType w:val="hybridMultilevel"/>
    <w:tmpl w:val="34843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6CA6"/>
    <w:rsid w:val="00151C6E"/>
    <w:rsid w:val="00256CA6"/>
    <w:rsid w:val="003D7B96"/>
    <w:rsid w:val="00661380"/>
    <w:rsid w:val="008430E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0B34"/>
  <w15:docId w15:val="{FEB10D4D-6C9A-4913-A00A-8ED8BA34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A6"/>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A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256CA6"/>
    <w:pPr>
      <w:tabs>
        <w:tab w:val="left" w:pos="3195"/>
      </w:tabs>
      <w:spacing w:after="0"/>
      <w:jc w:val="both"/>
    </w:pPr>
    <w:rPr>
      <w:rFonts w:ascii="News Gothic MT" w:eastAsia="Times New Roman" w:hAnsi="News Gothic MT" w:cs="Times New Roman"/>
      <w:b w:val="0"/>
      <w:sz w:val="22"/>
      <w:lang w:val="en-GB"/>
    </w:rPr>
  </w:style>
  <w:style w:type="character" w:customStyle="1" w:styleId="BodyTextChar">
    <w:name w:val="Body Text Char"/>
    <w:basedOn w:val="DefaultParagraphFont"/>
    <w:link w:val="BodyText"/>
    <w:rsid w:val="00256CA6"/>
    <w:rPr>
      <w:rFonts w:ascii="News Gothic MT" w:eastAsia="Times New Roman" w:hAnsi="News Gothic MT" w:cs="Times New Roman"/>
      <w:sz w:val="22"/>
      <w:lang w:val="en-GB"/>
    </w:rPr>
  </w:style>
  <w:style w:type="paragraph" w:styleId="ListParagraph">
    <w:name w:val="List Paragraph"/>
    <w:basedOn w:val="Normal"/>
    <w:uiPriority w:val="34"/>
    <w:qFormat/>
    <w:rsid w:val="00256CA6"/>
    <w:pPr>
      <w:ind w:left="720"/>
      <w:contextualSpacing/>
    </w:pPr>
  </w:style>
  <w:style w:type="paragraph" w:styleId="NormalWeb">
    <w:name w:val="Normal (Web)"/>
    <w:basedOn w:val="Normal"/>
    <w:rsid w:val="00256CA6"/>
    <w:pPr>
      <w:spacing w:before="100" w:beforeAutospacing="1" w:after="100" w:afterAutospacing="1"/>
    </w:pPr>
    <w:rPr>
      <w:rFonts w:ascii="Times New Roman" w:eastAsia="Times New Roman" w:hAnsi="Times New Roman" w:cs="Times New Roman"/>
      <w:b w:val="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ArtEast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Stephenson</dc:creator>
  <cp:keywords/>
  <cp:lastModifiedBy>Robert Grindley</cp:lastModifiedBy>
  <cp:revision>4</cp:revision>
  <dcterms:created xsi:type="dcterms:W3CDTF">2016-01-21T11:05:00Z</dcterms:created>
  <dcterms:modified xsi:type="dcterms:W3CDTF">2016-02-12T11:57:00Z</dcterms:modified>
</cp:coreProperties>
</file>